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69" w:rsidRPr="00665163" w:rsidRDefault="00DC0569" w:rsidP="00665163">
      <w:pPr>
        <w:rPr>
          <w:b/>
          <w:u w:val="single"/>
          <w:lang w:eastAsia="en-GB"/>
        </w:rPr>
      </w:pPr>
      <w:r w:rsidRPr="00665163">
        <w:rPr>
          <w:b/>
          <w:u w:val="single"/>
          <w:lang w:eastAsia="en-GB"/>
        </w:rPr>
        <w:t>North Cerney c of E Primary Academy</w:t>
      </w:r>
    </w:p>
    <w:p w:rsidR="00DC0569" w:rsidRPr="00665163" w:rsidRDefault="001E5AF3" w:rsidP="00665163">
      <w:pPr>
        <w:rPr>
          <w:b/>
          <w:u w:val="single"/>
          <w:lang w:eastAsia="en-GB"/>
        </w:rPr>
      </w:pPr>
      <w:r>
        <w:rPr>
          <w:b/>
          <w:u w:val="single"/>
          <w:lang w:eastAsia="en-GB"/>
        </w:rPr>
        <w:t>Report on SEN 2016</w:t>
      </w:r>
    </w:p>
    <w:p w:rsidR="00DC0569" w:rsidRPr="00665163" w:rsidRDefault="00DC0569" w:rsidP="00665163">
      <w:pPr>
        <w:rPr>
          <w:b/>
          <w:lang w:eastAsia="en-GB"/>
        </w:rPr>
      </w:pPr>
      <w:r w:rsidRPr="00665163">
        <w:rPr>
          <w:b/>
          <w:lang w:eastAsia="en-GB"/>
        </w:rPr>
        <w:t>Head Teacher: Jane Burr</w:t>
      </w:r>
    </w:p>
    <w:p w:rsidR="00DC0569" w:rsidRPr="00665163" w:rsidRDefault="00DC0569" w:rsidP="00665163">
      <w:pPr>
        <w:rPr>
          <w:b/>
          <w:lang w:eastAsia="en-GB"/>
        </w:rPr>
      </w:pPr>
      <w:r w:rsidRPr="00665163">
        <w:rPr>
          <w:b/>
          <w:lang w:eastAsia="en-GB"/>
        </w:rPr>
        <w:t>SENCO: Holly Wrigley</w:t>
      </w:r>
    </w:p>
    <w:p w:rsidR="00DC0569" w:rsidRPr="00665163" w:rsidRDefault="00DC0569" w:rsidP="00665163">
      <w:pPr>
        <w:rPr>
          <w:b/>
          <w:lang w:eastAsia="en-GB"/>
        </w:rPr>
      </w:pPr>
      <w:r w:rsidRPr="00665163">
        <w:rPr>
          <w:b/>
          <w:lang w:eastAsia="en-GB"/>
        </w:rPr>
        <w:t>SEN Governor: Jane Cowell</w:t>
      </w:r>
    </w:p>
    <w:p w:rsidR="00DC0569" w:rsidRDefault="00DC0569" w:rsidP="00665163">
      <w:pPr>
        <w:rPr>
          <w:lang w:eastAsia="en-GB"/>
        </w:rPr>
      </w:pPr>
      <w:r>
        <w:rPr>
          <w:lang w:eastAsia="en-GB"/>
        </w:rPr>
        <w:t>At North Cerney C of E Primary Academy we passionately believe that all children should be able to reach their full potential. We are a fully inclusive school and our school team work hard to support all children to reduce barriers to learning.</w:t>
      </w:r>
    </w:p>
    <w:p w:rsidR="00DC0569" w:rsidRDefault="00DC0569" w:rsidP="00665163">
      <w:pPr>
        <w:rPr>
          <w:shd w:val="clear" w:color="auto" w:fill="F9F9F0"/>
        </w:rPr>
      </w:pPr>
      <w:r w:rsidRPr="00B640C3">
        <w:rPr>
          <w:lang w:eastAsia="en-GB"/>
        </w:rPr>
        <w:t>The SEND Policy</w:t>
      </w:r>
      <w:r w:rsidRPr="001272BE">
        <w:rPr>
          <w:lang w:eastAsia="en-GB"/>
        </w:rPr>
        <w:t xml:space="preserve"> was re-written in accordance with the new Special Educational Needs and Disabilities (SEND) Code of Practice and </w:t>
      </w:r>
      <w:r w:rsidRPr="001272BE">
        <w:rPr>
          <w:shd w:val="clear" w:color="auto" w:fill="F9F9F0"/>
        </w:rPr>
        <w:t xml:space="preserve">as a direct result of changes in the Law (i.e. Section 3 of the new Children and Families Act March 2014). This was completed in consultation with staff, parents and Governors. The school also wrote its School Local Offer which forms part of Gloucestershire’s Local Offer and is a document that highlights to parents the provision and procedures for children with Special Educational Needs and/or Disabilities at our school. It </w:t>
      </w:r>
      <w:r>
        <w:rPr>
          <w:shd w:val="clear" w:color="auto" w:fill="F9F9F0"/>
        </w:rPr>
        <w:t>is written as part of the DGAT (Diocese of Gloucester Academy Trust)</w:t>
      </w:r>
      <w:r w:rsidRPr="001272BE">
        <w:rPr>
          <w:shd w:val="clear" w:color="auto" w:fill="F9F9F0"/>
        </w:rPr>
        <w:t xml:space="preserve"> </w:t>
      </w:r>
      <w:r w:rsidR="00BB24C9">
        <w:rPr>
          <w:shd w:val="clear" w:color="auto" w:fill="F9F9F0"/>
        </w:rPr>
        <w:t xml:space="preserve">and </w:t>
      </w:r>
      <w:r w:rsidRPr="001272BE">
        <w:rPr>
          <w:shd w:val="clear" w:color="auto" w:fill="F9F9F0"/>
        </w:rPr>
        <w:t>will be reviewed annually.</w:t>
      </w:r>
    </w:p>
    <w:p w:rsidR="00581EC2" w:rsidRPr="00665163" w:rsidRDefault="00581EC2" w:rsidP="00665163">
      <w:pPr>
        <w:rPr>
          <w:b/>
          <w:u w:val="single"/>
          <w:shd w:val="clear" w:color="auto" w:fill="F9F9F0"/>
        </w:rPr>
      </w:pPr>
      <w:r w:rsidRPr="00665163">
        <w:rPr>
          <w:b/>
          <w:u w:val="single"/>
          <w:shd w:val="clear" w:color="auto" w:fill="F9F9F0"/>
        </w:rPr>
        <w:t>SEN Pupil Numbers</w:t>
      </w:r>
    </w:p>
    <w:p w:rsidR="00581EC2" w:rsidRPr="00665163" w:rsidRDefault="00581EC2" w:rsidP="00665163">
      <w:pPr>
        <w:rPr>
          <w:b/>
          <w:u w:val="single"/>
          <w:shd w:val="clear" w:color="auto" w:fill="F9F9F0"/>
        </w:rPr>
      </w:pPr>
      <w:r w:rsidRPr="00665163">
        <w:rPr>
          <w:b/>
          <w:u w:val="single"/>
          <w:shd w:val="clear" w:color="auto" w:fill="F9F9F0"/>
        </w:rPr>
        <w:t>Tracking</w:t>
      </w:r>
    </w:p>
    <w:tbl>
      <w:tblPr>
        <w:tblW w:w="8510" w:type="dxa"/>
        <w:tblInd w:w="93" w:type="dxa"/>
        <w:tblLayout w:type="fixed"/>
        <w:tblLook w:val="04A0" w:firstRow="1" w:lastRow="0" w:firstColumn="1" w:lastColumn="0" w:noHBand="0" w:noVBand="1"/>
      </w:tblPr>
      <w:tblGrid>
        <w:gridCol w:w="1008"/>
        <w:gridCol w:w="682"/>
        <w:gridCol w:w="682"/>
        <w:gridCol w:w="682"/>
        <w:gridCol w:w="682"/>
        <w:gridCol w:w="682"/>
        <w:gridCol w:w="682"/>
        <w:gridCol w:w="682"/>
        <w:gridCol w:w="682"/>
        <w:gridCol w:w="682"/>
        <w:gridCol w:w="682"/>
        <w:gridCol w:w="682"/>
      </w:tblGrid>
      <w:tr w:rsidR="00FC76CF" w:rsidRPr="00581EC2" w:rsidTr="00FC76CF">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Date</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01/14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06/14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09/14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11/14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12/14</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02/15</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05/15</w:t>
            </w:r>
          </w:p>
        </w:tc>
        <w:tc>
          <w:tcPr>
            <w:tcW w:w="682" w:type="dxa"/>
            <w:tcBorders>
              <w:top w:val="single" w:sz="4" w:space="0" w:color="auto"/>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09/15</w:t>
            </w:r>
          </w:p>
        </w:tc>
        <w:tc>
          <w:tcPr>
            <w:tcW w:w="682" w:type="dxa"/>
            <w:tcBorders>
              <w:top w:val="single" w:sz="4" w:space="0" w:color="auto"/>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01/16</w:t>
            </w:r>
          </w:p>
        </w:tc>
        <w:tc>
          <w:tcPr>
            <w:tcW w:w="682" w:type="dxa"/>
            <w:tcBorders>
              <w:top w:val="single" w:sz="4" w:space="0" w:color="auto"/>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04/16</w:t>
            </w:r>
          </w:p>
        </w:tc>
        <w:tc>
          <w:tcPr>
            <w:tcW w:w="682" w:type="dxa"/>
            <w:tcBorders>
              <w:top w:val="single" w:sz="4" w:space="0" w:color="auto"/>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05/16</w:t>
            </w: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SA (SEN Support)</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3</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3</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3</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SA+ (SEN Support)</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Statement</w:t>
            </w:r>
          </w:p>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(EHCP)</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1</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1</w:t>
            </w: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Medical</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CAF</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shd w:val="clear" w:color="auto" w:fill="auto"/>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 </w:t>
            </w: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c>
          <w:tcPr>
            <w:tcW w:w="682" w:type="dxa"/>
            <w:tcBorders>
              <w:top w:val="nil"/>
              <w:left w:val="nil"/>
              <w:bottom w:val="single" w:sz="4" w:space="0" w:color="auto"/>
              <w:right w:val="single" w:sz="4" w:space="0" w:color="auto"/>
            </w:tcBorders>
          </w:tcPr>
          <w:p w:rsidR="00FC76CF" w:rsidRPr="00FC76CF" w:rsidRDefault="00FC76CF" w:rsidP="00665163">
            <w:pPr>
              <w:spacing w:line="15" w:lineRule="atLeast"/>
              <w:rPr>
                <w:rFonts w:ascii="Calibri" w:hAnsi="Calibri" w:cs="Times New Roman"/>
                <w:color w:val="000000"/>
                <w:sz w:val="16"/>
                <w:szCs w:val="16"/>
                <w:lang w:eastAsia="en-GB"/>
              </w:rPr>
            </w:pPr>
          </w:p>
        </w:tc>
      </w:tr>
      <w:tr w:rsidR="00FC76CF" w:rsidRPr="00581EC2" w:rsidTr="00FC76CF">
        <w:trPr>
          <w:trHeight w:val="300"/>
        </w:trPr>
        <w:tc>
          <w:tcPr>
            <w:tcW w:w="1008" w:type="dxa"/>
            <w:tcBorders>
              <w:top w:val="nil"/>
              <w:left w:val="single" w:sz="4" w:space="0" w:color="auto"/>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Total</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sz w:val="16"/>
                <w:szCs w:val="16"/>
                <w:lang w:eastAsia="en-GB"/>
              </w:rPr>
            </w:pPr>
            <w:r w:rsidRPr="00FC76CF">
              <w:rPr>
                <w:rFonts w:ascii="Calibri" w:hAnsi="Calibri" w:cs="Times New Roman"/>
                <w:sz w:val="16"/>
                <w:szCs w:val="16"/>
                <w:lang w:eastAsia="en-GB"/>
              </w:rPr>
              <w:t>6</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6</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3</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3</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noWrap/>
            <w:vAlign w:val="bottom"/>
            <w:hideMark/>
          </w:tcPr>
          <w:p w:rsidR="00FC76CF" w:rsidRPr="00FC76CF" w:rsidRDefault="00FC76CF" w:rsidP="00665163">
            <w:pPr>
              <w:spacing w:line="15" w:lineRule="atLeast"/>
              <w:rPr>
                <w:rFonts w:ascii="Calibri" w:hAnsi="Calibri" w:cs="Times New Roman"/>
                <w:color w:val="000000"/>
                <w:sz w:val="16"/>
                <w:szCs w:val="16"/>
                <w:lang w:eastAsia="en-GB"/>
              </w:rPr>
            </w:pPr>
            <w:r w:rsidRPr="00FC76CF">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4</w:t>
            </w:r>
          </w:p>
        </w:tc>
        <w:tc>
          <w:tcPr>
            <w:tcW w:w="682" w:type="dxa"/>
            <w:tcBorders>
              <w:top w:val="nil"/>
              <w:left w:val="nil"/>
              <w:bottom w:val="single" w:sz="4" w:space="0" w:color="auto"/>
              <w:right w:val="single" w:sz="4" w:space="0" w:color="auto"/>
            </w:tcBorders>
            <w:shd w:val="clear" w:color="000000" w:fill="CCFFCC"/>
          </w:tcPr>
          <w:p w:rsidR="00FC76CF" w:rsidRPr="00FC76CF" w:rsidRDefault="00FC76CF" w:rsidP="00665163">
            <w:pPr>
              <w:spacing w:line="15" w:lineRule="atLeast"/>
              <w:rPr>
                <w:rFonts w:ascii="Calibri" w:hAnsi="Calibri" w:cs="Times New Roman"/>
                <w:color w:val="000000"/>
                <w:sz w:val="16"/>
                <w:szCs w:val="16"/>
                <w:lang w:eastAsia="en-GB"/>
              </w:rPr>
            </w:pPr>
            <w:r>
              <w:rPr>
                <w:rFonts w:ascii="Calibri" w:hAnsi="Calibri" w:cs="Times New Roman"/>
                <w:color w:val="000000"/>
                <w:sz w:val="16"/>
                <w:szCs w:val="16"/>
                <w:lang w:eastAsia="en-GB"/>
              </w:rPr>
              <w:t>5</w:t>
            </w:r>
          </w:p>
        </w:tc>
      </w:tr>
    </w:tbl>
    <w:p w:rsidR="00581EC2" w:rsidRPr="00665163" w:rsidRDefault="00581EC2" w:rsidP="00665163">
      <w:pPr>
        <w:spacing w:line="180" w:lineRule="auto"/>
        <w:rPr>
          <w:b/>
          <w:shd w:val="clear" w:color="auto" w:fill="F9F9F0"/>
        </w:rPr>
      </w:pPr>
      <w:r w:rsidRPr="00665163">
        <w:rPr>
          <w:b/>
          <w:shd w:val="clear" w:color="auto" w:fill="F9F9F0"/>
        </w:rPr>
        <w:t>Current SEN Register</w:t>
      </w:r>
      <w:r w:rsidR="00FC76CF">
        <w:rPr>
          <w:b/>
          <w:shd w:val="clear" w:color="auto" w:fill="F9F9F0"/>
        </w:rPr>
        <w:t xml:space="preserve"> </w:t>
      </w:r>
      <w:r w:rsidR="001E5AF3">
        <w:rPr>
          <w:b/>
          <w:shd w:val="clear" w:color="auto" w:fill="F9F9F0"/>
        </w:rPr>
        <w:t>May 2016</w:t>
      </w:r>
    </w:p>
    <w:p w:rsidR="00581EC2" w:rsidRPr="00347CF6" w:rsidRDefault="00581EC2" w:rsidP="00665163">
      <w:pPr>
        <w:spacing w:line="180" w:lineRule="auto"/>
        <w:rPr>
          <w:shd w:val="clear" w:color="auto" w:fill="F9F9F0"/>
        </w:rPr>
      </w:pPr>
      <w:r w:rsidRPr="00347CF6">
        <w:rPr>
          <w:shd w:val="clear" w:color="auto" w:fill="F9F9F0"/>
        </w:rPr>
        <w:t>Number on roll:</w:t>
      </w:r>
      <w:r w:rsidR="00FC76CF">
        <w:rPr>
          <w:shd w:val="clear" w:color="auto" w:fill="F9F9F0"/>
        </w:rPr>
        <w:t xml:space="preserve"> 60</w:t>
      </w:r>
    </w:p>
    <w:p w:rsidR="00581EC2" w:rsidRPr="00347CF6" w:rsidRDefault="00FC76CF" w:rsidP="00665163">
      <w:pPr>
        <w:spacing w:line="180" w:lineRule="auto"/>
        <w:rPr>
          <w:shd w:val="clear" w:color="auto" w:fill="F9F9F0"/>
        </w:rPr>
      </w:pPr>
      <w:r>
        <w:rPr>
          <w:shd w:val="clear" w:color="auto" w:fill="F9F9F0"/>
        </w:rPr>
        <w:t>SEN: 5</w:t>
      </w:r>
    </w:p>
    <w:p w:rsidR="00581EC2" w:rsidRPr="00347CF6" w:rsidRDefault="00FC76CF" w:rsidP="00665163">
      <w:pPr>
        <w:spacing w:line="180" w:lineRule="auto"/>
        <w:rPr>
          <w:shd w:val="clear" w:color="auto" w:fill="F9F9F0"/>
        </w:rPr>
      </w:pPr>
      <w:r>
        <w:rPr>
          <w:shd w:val="clear" w:color="auto" w:fill="F9F9F0"/>
        </w:rPr>
        <w:t>Statements/EHCP: 1</w:t>
      </w:r>
    </w:p>
    <w:p w:rsidR="00581EC2" w:rsidRPr="00347CF6" w:rsidRDefault="00581EC2" w:rsidP="00665163">
      <w:pPr>
        <w:spacing w:line="180" w:lineRule="auto"/>
        <w:rPr>
          <w:shd w:val="clear" w:color="auto" w:fill="F9F9F0"/>
        </w:rPr>
      </w:pPr>
      <w:r w:rsidRPr="00347CF6">
        <w:rPr>
          <w:shd w:val="clear" w:color="auto" w:fill="F9F9F0"/>
        </w:rPr>
        <w:t xml:space="preserve">% of school supported at School Need: </w:t>
      </w:r>
      <w:r w:rsidR="001E5AF3">
        <w:rPr>
          <w:shd w:val="clear" w:color="auto" w:fill="F9F9F0"/>
        </w:rPr>
        <w:t>6.6</w:t>
      </w:r>
    </w:p>
    <w:p w:rsidR="00581EC2" w:rsidRPr="00347CF6" w:rsidRDefault="00581EC2" w:rsidP="00665163">
      <w:pPr>
        <w:spacing w:line="180" w:lineRule="auto"/>
        <w:rPr>
          <w:shd w:val="clear" w:color="auto" w:fill="F9F9F0"/>
        </w:rPr>
      </w:pPr>
      <w:r w:rsidRPr="00347CF6">
        <w:rPr>
          <w:shd w:val="clear" w:color="auto" w:fill="F9F9F0"/>
        </w:rPr>
        <w:t>% of school s</w:t>
      </w:r>
      <w:r w:rsidR="00FC76CF">
        <w:rPr>
          <w:shd w:val="clear" w:color="auto" w:fill="F9F9F0"/>
        </w:rPr>
        <w:t xml:space="preserve">upported at Statement or EHCP: </w:t>
      </w:r>
      <w:r w:rsidR="001E5AF3">
        <w:rPr>
          <w:shd w:val="clear" w:color="auto" w:fill="F9F9F0"/>
        </w:rPr>
        <w:t>1.6</w:t>
      </w:r>
    </w:p>
    <w:p w:rsidR="00581EC2" w:rsidRPr="00F06759" w:rsidRDefault="00581EC2" w:rsidP="00665163">
      <w:pPr>
        <w:spacing w:line="180" w:lineRule="auto"/>
        <w:rPr>
          <w:shd w:val="clear" w:color="auto" w:fill="F9F9F0"/>
        </w:rPr>
      </w:pPr>
      <w:r w:rsidRPr="00347CF6">
        <w:rPr>
          <w:shd w:val="clear" w:color="auto" w:fill="F9F9F0"/>
        </w:rPr>
        <w:t xml:space="preserve">The national average proportion of the school </w:t>
      </w:r>
      <w:r w:rsidR="00F06759">
        <w:rPr>
          <w:shd w:val="clear" w:color="auto" w:fill="F9F9F0"/>
        </w:rPr>
        <w:t>population for SEND is 14.4%</w:t>
      </w:r>
    </w:p>
    <w:p w:rsidR="00581EC2" w:rsidRDefault="00EB7E23" w:rsidP="00665163">
      <w:pPr>
        <w:rPr>
          <w:shd w:val="clear" w:color="auto" w:fill="F9F9F0"/>
        </w:rPr>
      </w:pPr>
      <w:r w:rsidRPr="00EB7E23">
        <w:rPr>
          <w:shd w:val="clear" w:color="auto" w:fill="F9F9F0"/>
        </w:rPr>
        <w:lastRenderedPageBreak/>
        <w:t>The Law requires that all pupils, without a Statement or EHCP, now be classified as ‘SEN Support’ before January 2015. We have completed this. We currently have no children at SEN Support that are being considered for an Education, Health and Care Plan as the school is managing to successfully meet all their needs and the children are making progress at their level.</w:t>
      </w:r>
    </w:p>
    <w:p w:rsidR="00347CF6" w:rsidRPr="00EB7E23" w:rsidRDefault="00347CF6" w:rsidP="00665163">
      <w:pPr>
        <w:rPr>
          <w:shd w:val="clear" w:color="auto" w:fill="F9F9F0"/>
        </w:rPr>
      </w:pPr>
      <w:r>
        <w:rPr>
          <w:shd w:val="clear" w:color="auto" w:fill="F9F9F0"/>
        </w:rPr>
        <w:t>We currently have no children with a Health Support Plan.</w:t>
      </w:r>
    </w:p>
    <w:p w:rsidR="00C7029E" w:rsidRPr="00665163" w:rsidRDefault="00C7029E" w:rsidP="00665163">
      <w:pPr>
        <w:rPr>
          <w:b/>
          <w:u w:val="single"/>
          <w:shd w:val="clear" w:color="auto" w:fill="F9F9F0"/>
        </w:rPr>
      </w:pPr>
      <w:r w:rsidRPr="00665163">
        <w:rPr>
          <w:b/>
          <w:u w:val="single"/>
          <w:shd w:val="clear" w:color="auto" w:fill="F9F9F0"/>
        </w:rPr>
        <w:t>SEN Provision</w:t>
      </w:r>
    </w:p>
    <w:p w:rsidR="00C7029E" w:rsidRPr="00665163" w:rsidRDefault="00C7029E" w:rsidP="00665163">
      <w:pPr>
        <w:pStyle w:val="ListParagraph"/>
        <w:numPr>
          <w:ilvl w:val="0"/>
          <w:numId w:val="3"/>
        </w:numPr>
        <w:rPr>
          <w:shd w:val="clear" w:color="auto" w:fill="F9F9F0"/>
        </w:rPr>
      </w:pPr>
      <w:r w:rsidRPr="00665163">
        <w:rPr>
          <w:shd w:val="clear" w:color="auto" w:fill="F9F9F0"/>
        </w:rPr>
        <w:t>Programmes of support offered</w:t>
      </w:r>
    </w:p>
    <w:p w:rsidR="00DC0569" w:rsidRDefault="00C7029E" w:rsidP="00665163">
      <w:pPr>
        <w:pStyle w:val="ListParagraph"/>
        <w:numPr>
          <w:ilvl w:val="0"/>
          <w:numId w:val="3"/>
        </w:numPr>
        <w:rPr>
          <w:lang w:eastAsia="en-GB"/>
        </w:rPr>
      </w:pPr>
      <w:r>
        <w:rPr>
          <w:lang w:eastAsia="en-GB"/>
        </w:rPr>
        <w:t>Better Reading Partnership</w:t>
      </w:r>
    </w:p>
    <w:p w:rsidR="00C7029E" w:rsidRDefault="00C7029E" w:rsidP="00665163">
      <w:pPr>
        <w:pStyle w:val="ListParagraph"/>
        <w:numPr>
          <w:ilvl w:val="0"/>
          <w:numId w:val="3"/>
        </w:numPr>
        <w:rPr>
          <w:lang w:eastAsia="en-GB"/>
        </w:rPr>
      </w:pPr>
      <w:r>
        <w:rPr>
          <w:lang w:eastAsia="en-GB"/>
        </w:rPr>
        <w:t>Adult/Parent Reading Support</w:t>
      </w:r>
    </w:p>
    <w:p w:rsidR="00C7029E" w:rsidRDefault="00C7029E" w:rsidP="00665163">
      <w:pPr>
        <w:pStyle w:val="ListParagraph"/>
        <w:numPr>
          <w:ilvl w:val="0"/>
          <w:numId w:val="3"/>
        </w:numPr>
        <w:rPr>
          <w:lang w:eastAsia="en-GB"/>
        </w:rPr>
      </w:pPr>
      <w:r>
        <w:rPr>
          <w:lang w:eastAsia="en-GB"/>
        </w:rPr>
        <w:t>Rapid Maths</w:t>
      </w:r>
    </w:p>
    <w:p w:rsidR="00C7029E" w:rsidRDefault="00C7029E" w:rsidP="00665163">
      <w:pPr>
        <w:pStyle w:val="ListParagraph"/>
        <w:numPr>
          <w:ilvl w:val="0"/>
          <w:numId w:val="3"/>
        </w:numPr>
        <w:rPr>
          <w:lang w:eastAsia="en-GB"/>
        </w:rPr>
      </w:pPr>
      <w:r>
        <w:rPr>
          <w:lang w:eastAsia="en-GB"/>
        </w:rPr>
        <w:t>Plus 1 Numeracy Support</w:t>
      </w:r>
    </w:p>
    <w:p w:rsidR="00C7029E" w:rsidRDefault="00C7029E" w:rsidP="00665163">
      <w:pPr>
        <w:pStyle w:val="ListParagraph"/>
        <w:numPr>
          <w:ilvl w:val="0"/>
          <w:numId w:val="3"/>
        </w:numPr>
        <w:rPr>
          <w:lang w:eastAsia="en-GB"/>
        </w:rPr>
      </w:pPr>
      <w:r>
        <w:rPr>
          <w:lang w:eastAsia="en-GB"/>
        </w:rPr>
        <w:t>Daily Handwriting Support</w:t>
      </w:r>
    </w:p>
    <w:p w:rsidR="00C7029E" w:rsidRDefault="00C7029E" w:rsidP="00665163">
      <w:pPr>
        <w:pStyle w:val="ListParagraph"/>
        <w:numPr>
          <w:ilvl w:val="0"/>
          <w:numId w:val="3"/>
        </w:numPr>
        <w:rPr>
          <w:lang w:eastAsia="en-GB"/>
        </w:rPr>
      </w:pPr>
      <w:r>
        <w:rPr>
          <w:lang w:eastAsia="en-GB"/>
        </w:rPr>
        <w:t>Dancing Bears Reading Support</w:t>
      </w:r>
    </w:p>
    <w:p w:rsidR="00C7029E" w:rsidRDefault="00C7029E" w:rsidP="00665163">
      <w:pPr>
        <w:pStyle w:val="ListParagraph"/>
        <w:numPr>
          <w:ilvl w:val="0"/>
          <w:numId w:val="3"/>
        </w:numPr>
        <w:rPr>
          <w:lang w:eastAsia="en-GB"/>
        </w:rPr>
      </w:pPr>
      <w:r>
        <w:rPr>
          <w:lang w:eastAsia="en-GB"/>
        </w:rPr>
        <w:t>Apples and Pears Spelling Support</w:t>
      </w:r>
    </w:p>
    <w:p w:rsidR="00C7029E" w:rsidRDefault="00C7029E" w:rsidP="00665163">
      <w:pPr>
        <w:pStyle w:val="ListParagraph"/>
        <w:numPr>
          <w:ilvl w:val="0"/>
          <w:numId w:val="3"/>
        </w:numPr>
        <w:rPr>
          <w:lang w:eastAsia="en-GB"/>
        </w:rPr>
      </w:pPr>
      <w:r>
        <w:rPr>
          <w:lang w:eastAsia="en-GB"/>
        </w:rPr>
        <w:t>Precision Teaching Speed Writing</w:t>
      </w:r>
    </w:p>
    <w:p w:rsidR="00C7029E" w:rsidRDefault="00C7029E" w:rsidP="00665163">
      <w:pPr>
        <w:pStyle w:val="ListParagraph"/>
        <w:numPr>
          <w:ilvl w:val="0"/>
          <w:numId w:val="3"/>
        </w:numPr>
        <w:rPr>
          <w:lang w:eastAsia="en-GB"/>
        </w:rPr>
      </w:pPr>
      <w:r>
        <w:rPr>
          <w:lang w:eastAsia="en-GB"/>
        </w:rPr>
        <w:t>Precision Teaching Speed Reading</w:t>
      </w:r>
    </w:p>
    <w:p w:rsidR="00C7029E" w:rsidRDefault="00C7029E" w:rsidP="00665163">
      <w:pPr>
        <w:pStyle w:val="ListParagraph"/>
        <w:numPr>
          <w:ilvl w:val="0"/>
          <w:numId w:val="3"/>
        </w:numPr>
        <w:rPr>
          <w:lang w:eastAsia="en-GB"/>
        </w:rPr>
      </w:pPr>
      <w:r>
        <w:rPr>
          <w:lang w:eastAsia="en-GB"/>
        </w:rPr>
        <w:t>Tricky Word/ Phoneme Fan/ High-Frequency Word Practise</w:t>
      </w:r>
    </w:p>
    <w:p w:rsidR="002D38E2" w:rsidRPr="00C7029E" w:rsidRDefault="002D38E2" w:rsidP="002D38E2">
      <w:pPr>
        <w:pStyle w:val="ListParagraph"/>
        <w:ind w:left="360"/>
        <w:rPr>
          <w:lang w:eastAsia="en-GB"/>
        </w:rPr>
      </w:pPr>
    </w:p>
    <w:p w:rsidR="00C7029E" w:rsidRDefault="00C7029E" w:rsidP="00665163">
      <w:pPr>
        <w:pStyle w:val="ListParagraph"/>
        <w:numPr>
          <w:ilvl w:val="0"/>
          <w:numId w:val="4"/>
        </w:numPr>
        <w:rPr>
          <w:lang w:eastAsia="en-GB"/>
        </w:rPr>
      </w:pPr>
      <w:r>
        <w:rPr>
          <w:lang w:eastAsia="en-GB"/>
        </w:rPr>
        <w:t>1:1 Teacher Intervention Support</w:t>
      </w:r>
    </w:p>
    <w:p w:rsidR="00C7029E" w:rsidRDefault="00C7029E" w:rsidP="00665163">
      <w:pPr>
        <w:pStyle w:val="ListParagraph"/>
        <w:numPr>
          <w:ilvl w:val="0"/>
          <w:numId w:val="4"/>
        </w:numPr>
        <w:rPr>
          <w:lang w:eastAsia="en-GB"/>
        </w:rPr>
      </w:pPr>
      <w:r>
        <w:rPr>
          <w:lang w:eastAsia="en-GB"/>
        </w:rPr>
        <w:t>1:1 Teaching Assistant Intervention Support</w:t>
      </w:r>
    </w:p>
    <w:p w:rsidR="00B640C3" w:rsidRDefault="00C7029E" w:rsidP="00665163">
      <w:pPr>
        <w:pStyle w:val="ListParagraph"/>
        <w:numPr>
          <w:ilvl w:val="0"/>
          <w:numId w:val="4"/>
        </w:numPr>
        <w:rPr>
          <w:lang w:eastAsia="en-GB"/>
        </w:rPr>
      </w:pPr>
      <w:r>
        <w:rPr>
          <w:lang w:eastAsia="en-GB"/>
        </w:rPr>
        <w:t>SENCO with HLTA working as Pastoral Lead using ad hoc social skills programmes</w:t>
      </w:r>
    </w:p>
    <w:p w:rsidR="007C6888" w:rsidRDefault="00347CF6" w:rsidP="00665163">
      <w:pPr>
        <w:rPr>
          <w:lang w:eastAsia="en-GB"/>
        </w:rPr>
      </w:pPr>
      <w:r w:rsidRPr="00B640C3">
        <w:rPr>
          <w:lang w:eastAsia="en-GB"/>
        </w:rPr>
        <w:t>Current provi</w:t>
      </w:r>
      <w:r w:rsidR="00B640C3" w:rsidRPr="00B640C3">
        <w:rPr>
          <w:lang w:eastAsia="en-GB"/>
        </w:rPr>
        <w:t xml:space="preserve">sion is planned as a result of the graduated response to identified needs </w:t>
      </w:r>
      <w:r w:rsidR="00B640C3">
        <w:rPr>
          <w:lang w:eastAsia="en-GB"/>
        </w:rPr>
        <w:t>in accordance with the SEN C</w:t>
      </w:r>
      <w:r w:rsidR="00B640C3" w:rsidRPr="00B640C3">
        <w:rPr>
          <w:lang w:eastAsia="en-GB"/>
        </w:rPr>
        <w:t>o</w:t>
      </w:r>
      <w:r w:rsidR="00B640C3">
        <w:rPr>
          <w:lang w:eastAsia="en-GB"/>
        </w:rPr>
        <w:t>de of P</w:t>
      </w:r>
      <w:r w:rsidR="00B640C3" w:rsidRPr="00B640C3">
        <w:rPr>
          <w:lang w:eastAsia="en-GB"/>
        </w:rPr>
        <w:t xml:space="preserve">ractice.  This is a Government document that applies to all education settings in the country.  This sets out that the needs of all children are expected to be met in school, with co-operation from other agencies as needed.  For a few children with complex needs, the school investigates whether these can be better met with the support of an </w:t>
      </w:r>
      <w:r w:rsidR="00B640C3" w:rsidRPr="00B640C3">
        <w:rPr>
          <w:i/>
          <w:lang w:eastAsia="en-GB"/>
        </w:rPr>
        <w:t>Education and Health Care Plan</w:t>
      </w:r>
      <w:r w:rsidR="00B640C3" w:rsidRPr="00B640C3">
        <w:rPr>
          <w:lang w:eastAsia="en-GB"/>
        </w:rPr>
        <w:t xml:space="preserve">.  Children on the SEN register have </w:t>
      </w:r>
      <w:r w:rsidR="00B640C3" w:rsidRPr="00B640C3">
        <w:rPr>
          <w:i/>
          <w:lang w:eastAsia="en-GB"/>
        </w:rPr>
        <w:t>My Profiles</w:t>
      </w:r>
      <w:r w:rsidR="00B640C3" w:rsidRPr="00B640C3">
        <w:rPr>
          <w:lang w:eastAsia="en-GB"/>
        </w:rPr>
        <w:t xml:space="preserve"> which set out the strengths, worries and aspirations of the child (sometimes with some support/input from parents).  Each child also has a </w:t>
      </w:r>
      <w:r w:rsidR="00B640C3" w:rsidRPr="00B640C3">
        <w:rPr>
          <w:i/>
          <w:lang w:eastAsia="en-GB"/>
        </w:rPr>
        <w:t>My Plan</w:t>
      </w:r>
      <w:r w:rsidR="00B640C3" w:rsidRPr="00B640C3">
        <w:rPr>
          <w:lang w:eastAsia="en-GB"/>
        </w:rPr>
        <w:t xml:space="preserve"> setting out their needs, planned support and the outcomes of this support.  These are reviewed regularly and in consultation with the child and their family.</w:t>
      </w:r>
    </w:p>
    <w:p w:rsidR="007C6888" w:rsidRPr="00665163" w:rsidRDefault="007C6888" w:rsidP="00665163">
      <w:pPr>
        <w:rPr>
          <w:b/>
          <w:lang w:eastAsia="en-GB"/>
        </w:rPr>
      </w:pPr>
      <w:r w:rsidRPr="00665163">
        <w:rPr>
          <w:b/>
          <w:lang w:eastAsia="en-GB"/>
        </w:rPr>
        <w:t>Monitoring</w:t>
      </w:r>
    </w:p>
    <w:p w:rsidR="007C6888" w:rsidRDefault="007C6888" w:rsidP="00665163">
      <w:pPr>
        <w:rPr>
          <w:lang w:eastAsia="en-GB"/>
        </w:rPr>
      </w:pPr>
      <w:r>
        <w:rPr>
          <w:lang w:eastAsia="en-GB"/>
        </w:rPr>
        <w:t xml:space="preserve">We use a number of methods to assess and </w:t>
      </w:r>
      <w:r w:rsidR="00B1055A">
        <w:rPr>
          <w:lang w:eastAsia="en-GB"/>
        </w:rPr>
        <w:t>track the progress of all pupils</w:t>
      </w:r>
    </w:p>
    <w:p w:rsidR="00B1055A" w:rsidRDefault="00B1055A" w:rsidP="00B1055A">
      <w:pPr>
        <w:pStyle w:val="ListParagraph"/>
        <w:numPr>
          <w:ilvl w:val="0"/>
          <w:numId w:val="5"/>
        </w:numPr>
        <w:rPr>
          <w:lang w:eastAsia="en-GB"/>
        </w:rPr>
      </w:pPr>
      <w:r>
        <w:rPr>
          <w:lang w:eastAsia="en-GB"/>
        </w:rPr>
        <w:t>Classroom monitor</w:t>
      </w:r>
    </w:p>
    <w:p w:rsidR="00B1055A" w:rsidRDefault="00B1055A" w:rsidP="00B1055A">
      <w:pPr>
        <w:pStyle w:val="ListParagraph"/>
        <w:numPr>
          <w:ilvl w:val="0"/>
          <w:numId w:val="5"/>
        </w:numPr>
        <w:rPr>
          <w:lang w:eastAsia="en-GB"/>
        </w:rPr>
      </w:pPr>
      <w:r>
        <w:rPr>
          <w:lang w:eastAsia="en-GB"/>
        </w:rPr>
        <w:t>Personal targets</w:t>
      </w:r>
    </w:p>
    <w:p w:rsidR="00B1055A" w:rsidRDefault="00B1055A" w:rsidP="00B1055A">
      <w:pPr>
        <w:pStyle w:val="ListParagraph"/>
        <w:numPr>
          <w:ilvl w:val="0"/>
          <w:numId w:val="5"/>
        </w:numPr>
        <w:rPr>
          <w:lang w:eastAsia="en-GB"/>
        </w:rPr>
      </w:pPr>
      <w:r>
        <w:rPr>
          <w:lang w:eastAsia="en-GB"/>
        </w:rPr>
        <w:t>Benchmark reading assessment</w:t>
      </w:r>
    </w:p>
    <w:p w:rsidR="00B1055A" w:rsidRDefault="00B1055A" w:rsidP="00B1055A">
      <w:pPr>
        <w:pStyle w:val="ListParagraph"/>
        <w:numPr>
          <w:ilvl w:val="0"/>
          <w:numId w:val="5"/>
        </w:numPr>
        <w:rPr>
          <w:lang w:eastAsia="en-GB"/>
        </w:rPr>
      </w:pPr>
      <w:r>
        <w:rPr>
          <w:lang w:eastAsia="en-GB"/>
        </w:rPr>
        <w:t>Vernon spelling assessment</w:t>
      </w:r>
    </w:p>
    <w:p w:rsidR="00B1055A" w:rsidRDefault="00B1055A" w:rsidP="00B1055A">
      <w:pPr>
        <w:pStyle w:val="ListParagraph"/>
        <w:numPr>
          <w:ilvl w:val="0"/>
          <w:numId w:val="5"/>
        </w:numPr>
        <w:rPr>
          <w:lang w:eastAsia="en-GB"/>
        </w:rPr>
      </w:pPr>
      <w:r>
        <w:rPr>
          <w:lang w:eastAsia="en-GB"/>
        </w:rPr>
        <w:t>Salford reading assessment</w:t>
      </w:r>
    </w:p>
    <w:p w:rsidR="00B1055A" w:rsidRDefault="00B1055A" w:rsidP="00B1055A">
      <w:pPr>
        <w:pStyle w:val="ListParagraph"/>
        <w:numPr>
          <w:ilvl w:val="0"/>
          <w:numId w:val="5"/>
        </w:numPr>
        <w:rPr>
          <w:lang w:eastAsia="en-GB"/>
        </w:rPr>
      </w:pPr>
      <w:r>
        <w:rPr>
          <w:lang w:eastAsia="en-GB"/>
        </w:rPr>
        <w:t>Durham Baseline assessment</w:t>
      </w:r>
    </w:p>
    <w:p w:rsidR="00B1055A" w:rsidRDefault="00B1055A" w:rsidP="00B1055A">
      <w:pPr>
        <w:pStyle w:val="ListParagraph"/>
        <w:numPr>
          <w:ilvl w:val="0"/>
          <w:numId w:val="5"/>
        </w:numPr>
        <w:rPr>
          <w:lang w:eastAsia="en-GB"/>
        </w:rPr>
      </w:pPr>
      <w:r>
        <w:rPr>
          <w:lang w:eastAsia="en-GB"/>
        </w:rPr>
        <w:t>Phonics Tracker</w:t>
      </w:r>
    </w:p>
    <w:p w:rsidR="00F06759" w:rsidRDefault="00B1055A" w:rsidP="00F06759">
      <w:pPr>
        <w:pStyle w:val="ListParagraph"/>
        <w:numPr>
          <w:ilvl w:val="0"/>
          <w:numId w:val="5"/>
        </w:numPr>
        <w:rPr>
          <w:lang w:eastAsia="en-GB"/>
        </w:rPr>
      </w:pPr>
      <w:r>
        <w:rPr>
          <w:lang w:eastAsia="en-GB"/>
        </w:rPr>
        <w:t>Maths passports</w:t>
      </w:r>
    </w:p>
    <w:p w:rsidR="00F06759" w:rsidRDefault="00F06759" w:rsidP="00F06759">
      <w:pPr>
        <w:rPr>
          <w:lang w:eastAsia="en-GB"/>
        </w:rPr>
      </w:pPr>
      <w:r>
        <w:rPr>
          <w:lang w:eastAsia="en-GB"/>
        </w:rPr>
        <w:lastRenderedPageBreak/>
        <w:t>NB – ways of measuring attainment have changed this year away from levels to Age Related Steps with National Tests giving scaled scores.</w:t>
      </w:r>
      <w:bookmarkStart w:id="0" w:name="_GoBack"/>
      <w:bookmarkEnd w:id="0"/>
    </w:p>
    <w:p w:rsidR="00347CF6" w:rsidRDefault="00347CF6" w:rsidP="00123A07">
      <w:pPr>
        <w:rPr>
          <w:b/>
          <w:lang w:eastAsia="en-GB"/>
        </w:rPr>
      </w:pPr>
      <w:r w:rsidRPr="00123A07">
        <w:rPr>
          <w:b/>
          <w:lang w:eastAsia="en-GB"/>
        </w:rPr>
        <w:t>Standards</w:t>
      </w:r>
    </w:p>
    <w:p w:rsidR="00123A07" w:rsidRPr="00123A07" w:rsidRDefault="001E5AF3" w:rsidP="00123A07">
      <w:pPr>
        <w:rPr>
          <w:lang w:eastAsia="en-GB"/>
        </w:rPr>
      </w:pPr>
      <w:r>
        <w:rPr>
          <w:lang w:eastAsia="en-GB"/>
        </w:rPr>
        <w:t>There was one</w:t>
      </w:r>
      <w:r w:rsidR="00123A07">
        <w:rPr>
          <w:lang w:eastAsia="en-GB"/>
        </w:rPr>
        <w:t xml:space="preserve"> recorded pupils</w:t>
      </w:r>
      <w:r>
        <w:rPr>
          <w:lang w:eastAsia="en-GB"/>
        </w:rPr>
        <w:t xml:space="preserve"> with SEND in Year Six for</w:t>
      </w:r>
      <w:r w:rsidR="00123A07">
        <w:rPr>
          <w:lang w:eastAsia="en-GB"/>
        </w:rPr>
        <w:t>2015</w:t>
      </w:r>
      <w:r>
        <w:rPr>
          <w:lang w:eastAsia="en-GB"/>
        </w:rPr>
        <w:t>/2016 (SEN Support).</w:t>
      </w:r>
    </w:p>
    <w:p w:rsidR="007C6888" w:rsidRPr="00665163" w:rsidRDefault="007C6888" w:rsidP="00665163">
      <w:pPr>
        <w:rPr>
          <w:b/>
          <w:lang w:eastAsia="en-GB"/>
        </w:rPr>
      </w:pPr>
      <w:r w:rsidRPr="00665163">
        <w:rPr>
          <w:b/>
          <w:lang w:eastAsia="en-GB"/>
        </w:rPr>
        <w:t>Transition of Pupils with SEND</w:t>
      </w:r>
    </w:p>
    <w:p w:rsidR="00665163" w:rsidRDefault="007C6888" w:rsidP="00BB24C9">
      <w:pPr>
        <w:rPr>
          <w:lang w:eastAsia="en-GB"/>
        </w:rPr>
      </w:pPr>
      <w:r>
        <w:rPr>
          <w:lang w:eastAsia="en-GB"/>
        </w:rPr>
        <w:t>The school liaises closely with other providers prior to transfer from Pre-School to Reception, in-year tran</w:t>
      </w:r>
      <w:r w:rsidR="00615750">
        <w:rPr>
          <w:lang w:eastAsia="en-GB"/>
        </w:rPr>
        <w:t>sfers and from KS2 to KS3.  Assessment information is shared and helps to make the transition as easy as possible for pupils with Special Educational Needs and/or Disabilities.</w:t>
      </w:r>
      <w:r w:rsidR="00665163">
        <w:rPr>
          <w:lang w:eastAsia="en-GB"/>
        </w:rPr>
        <w:t xml:space="preserve">  Children transferring to local secondary schools have induction days as well as an additional visit for children with additional needs.  Any other visits necessary in addition to this are arranged with the pastoral managers/inclusion co-ordinator and Head of Year 7</w:t>
      </w:r>
      <w:r w:rsidR="001E5AF3">
        <w:rPr>
          <w:lang w:eastAsia="en-GB"/>
        </w:rPr>
        <w:t xml:space="preserve"> by our school SENCO.  There was one child</w:t>
      </w:r>
      <w:r w:rsidR="00665163">
        <w:rPr>
          <w:lang w:eastAsia="en-GB"/>
        </w:rPr>
        <w:t xml:space="preserve"> with SEND transferring to KS3 this year.</w:t>
      </w:r>
      <w:r w:rsidR="001E5AF3">
        <w:rPr>
          <w:lang w:eastAsia="en-GB"/>
        </w:rPr>
        <w:t xml:space="preserve">  They were visited at North Cerney C of E Primary Academy to ensure that the correct support would be available to them on arrival at their secondary placement as well as the offer of extra visits to the school.</w:t>
      </w:r>
    </w:p>
    <w:p w:rsidR="00404610" w:rsidRPr="002D38E2" w:rsidRDefault="00665163">
      <w:pPr>
        <w:rPr>
          <w:b/>
          <w:color w:val="000000" w:themeColor="text1"/>
          <w:lang w:eastAsia="en-GB"/>
        </w:rPr>
      </w:pPr>
      <w:r w:rsidRPr="002D38E2">
        <w:rPr>
          <w:b/>
          <w:color w:val="000000" w:themeColor="text1"/>
          <w:lang w:eastAsia="en-GB"/>
        </w:rPr>
        <w:t>Attendance and Exclusion</w:t>
      </w:r>
    </w:p>
    <w:p w:rsidR="00017E31" w:rsidRPr="001E5AF3" w:rsidRDefault="00017E31" w:rsidP="00017E31">
      <w:pPr>
        <w:pStyle w:val="NormalWeb"/>
        <w:shd w:val="clear" w:color="auto" w:fill="F9F9F0"/>
        <w:spacing w:before="0" w:beforeAutospacing="0" w:after="240" w:afterAutospacing="0" w:line="359" w:lineRule="atLeast"/>
        <w:textAlignment w:val="baseline"/>
        <w:rPr>
          <w:rFonts w:asciiTheme="minorHAnsi" w:hAnsiTheme="minorHAnsi" w:cs="Arial"/>
          <w:color w:val="FF0000"/>
          <w:sz w:val="22"/>
          <w:szCs w:val="22"/>
        </w:rPr>
      </w:pPr>
      <w:r w:rsidRPr="001E5AF3">
        <w:rPr>
          <w:rFonts w:asciiTheme="minorHAnsi" w:hAnsiTheme="minorHAnsi" w:cs="Arial"/>
          <w:color w:val="FF0000"/>
          <w:sz w:val="22"/>
          <w:szCs w:val="22"/>
        </w:rPr>
        <w:t xml:space="preserve">Attendance and exclusion of pupils with SEND is monitored by the Head Teacher. Data for 2014-15 shows that attendance of the SEND pupil group was </w:t>
      </w:r>
      <w:r w:rsidR="002D38E2" w:rsidRPr="001E5AF3">
        <w:rPr>
          <w:rFonts w:asciiTheme="minorHAnsi" w:hAnsiTheme="minorHAnsi" w:cs="Arial"/>
          <w:color w:val="FF0000"/>
          <w:sz w:val="22"/>
          <w:szCs w:val="22"/>
        </w:rPr>
        <w:t xml:space="preserve">94.8%.  </w:t>
      </w:r>
      <w:r w:rsidRPr="001E5AF3">
        <w:rPr>
          <w:rFonts w:asciiTheme="minorHAnsi" w:hAnsiTheme="minorHAnsi" w:cs="Arial"/>
          <w:color w:val="FF0000"/>
          <w:sz w:val="22"/>
          <w:szCs w:val="22"/>
        </w:rPr>
        <w:t xml:space="preserve">This is below the whole-school attendance </w:t>
      </w:r>
      <w:r w:rsidR="002D38E2" w:rsidRPr="001E5AF3">
        <w:rPr>
          <w:rFonts w:asciiTheme="minorHAnsi" w:hAnsiTheme="minorHAnsi" w:cs="Arial"/>
          <w:color w:val="FF0000"/>
          <w:sz w:val="22"/>
          <w:szCs w:val="22"/>
        </w:rPr>
        <w:t>figure for the same period (96.94</w:t>
      </w:r>
      <w:r w:rsidRPr="001E5AF3">
        <w:rPr>
          <w:rFonts w:asciiTheme="minorHAnsi" w:hAnsiTheme="minorHAnsi" w:cs="Arial"/>
          <w:color w:val="FF0000"/>
          <w:sz w:val="22"/>
          <w:szCs w:val="22"/>
        </w:rPr>
        <w:t>%). This difference was mainly related to the low attendance of one child.</w:t>
      </w:r>
    </w:p>
    <w:p w:rsidR="00017E31" w:rsidRPr="002D38E2" w:rsidRDefault="00017E31" w:rsidP="00017E31">
      <w:pPr>
        <w:pStyle w:val="NormalWeb"/>
        <w:shd w:val="clear" w:color="auto" w:fill="F9F9F0"/>
        <w:spacing w:before="0" w:beforeAutospacing="0" w:after="240" w:afterAutospacing="0" w:line="359" w:lineRule="atLeast"/>
        <w:textAlignment w:val="baseline"/>
        <w:rPr>
          <w:rFonts w:asciiTheme="minorHAnsi" w:hAnsiTheme="minorHAnsi" w:cs="Arial"/>
          <w:color w:val="000000" w:themeColor="text1"/>
          <w:sz w:val="22"/>
          <w:szCs w:val="22"/>
        </w:rPr>
      </w:pPr>
      <w:r w:rsidRPr="002D38E2">
        <w:rPr>
          <w:rFonts w:asciiTheme="minorHAnsi" w:hAnsiTheme="minorHAnsi" w:cs="Arial"/>
          <w:color w:val="000000" w:themeColor="text1"/>
          <w:sz w:val="22"/>
          <w:szCs w:val="22"/>
        </w:rPr>
        <w:t>There have been no fixed-term exclusions in the past year. There have been no internal exclusions in the past year.</w:t>
      </w:r>
    </w:p>
    <w:p w:rsidR="002D38E2" w:rsidRDefault="002D38E2"/>
    <w:sectPr w:rsidR="002D3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3204649"/>
    <w:multiLevelType w:val="hybridMultilevel"/>
    <w:tmpl w:val="3E5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844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E0B43E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26F14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69"/>
    <w:rsid w:val="00017E31"/>
    <w:rsid w:val="00123A07"/>
    <w:rsid w:val="001D1180"/>
    <w:rsid w:val="001E5AF3"/>
    <w:rsid w:val="002D38E2"/>
    <w:rsid w:val="00347CF6"/>
    <w:rsid w:val="00404610"/>
    <w:rsid w:val="00581EC2"/>
    <w:rsid w:val="005F2792"/>
    <w:rsid w:val="00615750"/>
    <w:rsid w:val="00665163"/>
    <w:rsid w:val="007C6888"/>
    <w:rsid w:val="00837933"/>
    <w:rsid w:val="00B1055A"/>
    <w:rsid w:val="00B640C3"/>
    <w:rsid w:val="00BB24C9"/>
    <w:rsid w:val="00C7029E"/>
    <w:rsid w:val="00DC0569"/>
    <w:rsid w:val="00EB7E23"/>
    <w:rsid w:val="00F06759"/>
    <w:rsid w:val="00FC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69"/>
    <w:pPr>
      <w:ind w:left="720"/>
      <w:contextualSpacing/>
    </w:pPr>
  </w:style>
  <w:style w:type="paragraph" w:styleId="NormalWeb">
    <w:name w:val="Normal (Web)"/>
    <w:basedOn w:val="Normal"/>
    <w:uiPriority w:val="99"/>
    <w:semiHidden/>
    <w:unhideWhenUsed/>
    <w:rsid w:val="00017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569"/>
    <w:pPr>
      <w:ind w:left="720"/>
      <w:contextualSpacing/>
    </w:pPr>
  </w:style>
  <w:style w:type="paragraph" w:styleId="NormalWeb">
    <w:name w:val="Normal (Web)"/>
    <w:basedOn w:val="Normal"/>
    <w:uiPriority w:val="99"/>
    <w:semiHidden/>
    <w:unhideWhenUsed/>
    <w:rsid w:val="00017E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4767">
      <w:bodyDiv w:val="1"/>
      <w:marLeft w:val="0"/>
      <w:marRight w:val="0"/>
      <w:marTop w:val="0"/>
      <w:marBottom w:val="0"/>
      <w:divBdr>
        <w:top w:val="none" w:sz="0" w:space="0" w:color="auto"/>
        <w:left w:val="none" w:sz="0" w:space="0" w:color="auto"/>
        <w:bottom w:val="none" w:sz="0" w:space="0" w:color="auto"/>
        <w:right w:val="none" w:sz="0" w:space="0" w:color="auto"/>
      </w:divBdr>
    </w:div>
    <w:div w:id="1108697764">
      <w:bodyDiv w:val="1"/>
      <w:marLeft w:val="0"/>
      <w:marRight w:val="0"/>
      <w:marTop w:val="0"/>
      <w:marBottom w:val="0"/>
      <w:divBdr>
        <w:top w:val="none" w:sz="0" w:space="0" w:color="auto"/>
        <w:left w:val="none" w:sz="0" w:space="0" w:color="auto"/>
        <w:bottom w:val="none" w:sz="0" w:space="0" w:color="auto"/>
        <w:right w:val="none" w:sz="0" w:space="0" w:color="auto"/>
      </w:divBdr>
    </w:div>
    <w:div w:id="1113791262">
      <w:bodyDiv w:val="1"/>
      <w:marLeft w:val="0"/>
      <w:marRight w:val="0"/>
      <w:marTop w:val="0"/>
      <w:marBottom w:val="0"/>
      <w:divBdr>
        <w:top w:val="none" w:sz="0" w:space="0" w:color="auto"/>
        <w:left w:val="none" w:sz="0" w:space="0" w:color="auto"/>
        <w:bottom w:val="none" w:sz="0" w:space="0" w:color="auto"/>
        <w:right w:val="none" w:sz="0" w:space="0" w:color="auto"/>
      </w:divBdr>
    </w:div>
    <w:div w:id="1393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2017-02-09T10:59:00Z</dcterms:created>
  <dcterms:modified xsi:type="dcterms:W3CDTF">2017-02-09T10:59:00Z</dcterms:modified>
</cp:coreProperties>
</file>